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34" w:rsidRPr="00875234" w:rsidRDefault="00875234" w:rsidP="0087523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u w:val="single"/>
          <w:lang w:val="hr-HR"/>
        </w:rPr>
      </w:pPr>
      <w:r w:rsidRPr="00875234">
        <w:rPr>
          <w:rFonts w:ascii="Helvetica" w:hAnsi="Helvetica" w:cs="Helvetica"/>
          <w:b/>
          <w:u w:val="single"/>
          <w:lang w:val="hr-HR"/>
        </w:rPr>
        <w:t>PREPORUČENI SADRŽAJ INVESTICIJSKOG PLANA</w:t>
      </w:r>
    </w:p>
    <w:p w:rsidR="00875234" w:rsidRDefault="00875234" w:rsidP="00875234">
      <w:pPr>
        <w:autoSpaceDE w:val="0"/>
        <w:autoSpaceDN w:val="0"/>
        <w:adjustRightInd w:val="0"/>
        <w:rPr>
          <w:rFonts w:ascii="Helvetica" w:hAnsi="Helvetica" w:cs="Helvetica"/>
          <w:b/>
          <w:sz w:val="8"/>
          <w:lang w:val="hr-HR"/>
        </w:rPr>
      </w:pPr>
    </w:p>
    <w:p w:rsidR="00875234" w:rsidRDefault="00875234" w:rsidP="00875234">
      <w:pPr>
        <w:autoSpaceDE w:val="0"/>
        <w:autoSpaceDN w:val="0"/>
        <w:adjustRightInd w:val="0"/>
        <w:rPr>
          <w:rFonts w:ascii="Helvetica" w:hAnsi="Helvetica" w:cs="Helvetica"/>
          <w:b/>
          <w:sz w:val="8"/>
          <w:lang w:val="hr-HR"/>
        </w:rPr>
      </w:pPr>
    </w:p>
    <w:p w:rsidR="00875234" w:rsidRPr="00875234" w:rsidRDefault="00875234" w:rsidP="00875234">
      <w:pPr>
        <w:autoSpaceDE w:val="0"/>
        <w:autoSpaceDN w:val="0"/>
        <w:adjustRightInd w:val="0"/>
        <w:rPr>
          <w:rFonts w:ascii="Helvetica" w:hAnsi="Helvetica" w:cs="Helvetica"/>
          <w:b/>
          <w:sz w:val="8"/>
          <w:lang w:val="hr-HR"/>
        </w:rPr>
      </w:pP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UVOD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sz w:val="8"/>
          <w:lang w:val="hr-HR"/>
        </w:rPr>
      </w:pP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SAŽETAK ULAGANJA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sz w:val="8"/>
          <w:lang w:val="hr-HR"/>
        </w:rPr>
      </w:pP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1.   INFORMACIJE O INVESTITORU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2.   PREDMET POSLOVANJA INVESTITORA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3.   POSTOJE</w:t>
      </w:r>
      <w:r w:rsidRPr="006C588F">
        <w:rPr>
          <w:rFonts w:ascii="Arial" w:hAnsi="Arial" w:cs="Arial"/>
          <w:lang w:val="hr-HR"/>
        </w:rPr>
        <w:t>Ć</w:t>
      </w:r>
      <w:r w:rsidRPr="006C588F">
        <w:rPr>
          <w:rFonts w:ascii="Helvetica" w:hAnsi="Helvetica" w:cs="Helvetica"/>
          <w:lang w:val="hr-HR"/>
        </w:rPr>
        <w:t>A IMOVINA INVESTITORA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4.   ANALIZA DOSADAŠNJEG FINANCIJSKOG POSLOVANJA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5.   OCJENA RAZVOJNIH MOGUĆNOSTI ULAGATELJA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6.   ANALIZA TRŽIŠTA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Tržište nabave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Tržište prodaje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Sažetak analize tržišta i procjena ostvarenja prihoda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7.   DINAMIKA I STRUKTURA ZAPOSLENIH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Analiza potrebnih kadrova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Prora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un godišnjih bruto plaća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8.   TEHNI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KI ELEMENTI ULAGANJA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Opis tehni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ko-tehnološkog procesa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Utrošak sirovina, materijala i energenata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Tehni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ka struktura ulaganja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Karakteristike gra</w:t>
      </w:r>
      <w:r w:rsidRPr="006C588F">
        <w:rPr>
          <w:rFonts w:ascii="Arial" w:hAnsi="Arial" w:cs="Arial"/>
          <w:lang w:val="hr-HR"/>
        </w:rPr>
        <w:t>đ</w:t>
      </w:r>
      <w:r w:rsidRPr="006C588F">
        <w:rPr>
          <w:rFonts w:ascii="Helvetica" w:hAnsi="Helvetica" w:cs="Helvetica"/>
          <w:lang w:val="hr-HR"/>
        </w:rPr>
        <w:t>evinskog objekta (poslovni prostor)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9.   LOKACIJA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 xml:space="preserve">10. ZAŠTITA 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OVJEKOVE OKOLINE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11. DINAMIKA REALIZACIJE ULAGANJA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12. EKONOMSKO-FINANCIJSKA ANALIZA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Ulaganje u osnovna sredstva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Ulaganje u obrtna sredstva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Struktura ulaganja u osnovna i obrtna sredstva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Izvori financiranja i kreditni uvjeti</w:t>
      </w:r>
    </w:p>
    <w:p w:rsidR="00875234" w:rsidRPr="006C588F" w:rsidRDefault="00875234" w:rsidP="00875234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Izvori financiranja</w:t>
      </w:r>
    </w:p>
    <w:p w:rsidR="00875234" w:rsidRPr="006C588F" w:rsidRDefault="00875234" w:rsidP="00875234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Obra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un kreditnih obveza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Prora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un amortizacije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Prora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un troškova i kalkulacija cijena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Projekcija ra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una dobiti i gubitka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Financijski tok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Ekonomski tok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Projekcija bilance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13. EKONOMSKO-TRŽIŠNA OCJENA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Stati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ka ocjena efikasnosti investicijskog projekta</w:t>
      </w:r>
    </w:p>
    <w:p w:rsidR="00875234" w:rsidRPr="006C588F" w:rsidRDefault="00875234" w:rsidP="00875234">
      <w:pPr>
        <w:autoSpaceDE w:val="0"/>
        <w:autoSpaceDN w:val="0"/>
        <w:adjustRightInd w:val="0"/>
        <w:ind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Dinami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ka ocjena projekta</w:t>
      </w:r>
    </w:p>
    <w:p w:rsidR="00875234" w:rsidRPr="006C588F" w:rsidRDefault="00875234" w:rsidP="00875234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Metoda razdoblja povrata investicijskog ulaganja</w:t>
      </w:r>
    </w:p>
    <w:p w:rsidR="00875234" w:rsidRPr="006C588F" w:rsidRDefault="00875234" w:rsidP="00875234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Metoda neto sadašnje vrijednosti</w:t>
      </w:r>
    </w:p>
    <w:p w:rsidR="00875234" w:rsidRPr="006C588F" w:rsidRDefault="00875234" w:rsidP="00875234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Metoda relativne sadašnje vrijednosti</w:t>
      </w:r>
    </w:p>
    <w:p w:rsidR="00875234" w:rsidRPr="006C588F" w:rsidRDefault="00875234" w:rsidP="00875234">
      <w:pPr>
        <w:autoSpaceDE w:val="0"/>
        <w:autoSpaceDN w:val="0"/>
        <w:adjustRightInd w:val="0"/>
        <w:ind w:left="708" w:firstLine="708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Metoda interne stope rentabilnosti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14. ANALIZA OSJETLJIVOSTI</w:t>
      </w:r>
    </w:p>
    <w:p w:rsidR="00875234" w:rsidRPr="006C588F" w:rsidRDefault="00875234" w:rsidP="00875234">
      <w:pPr>
        <w:autoSpaceDE w:val="0"/>
        <w:autoSpaceDN w:val="0"/>
        <w:adjustRightInd w:val="0"/>
        <w:rPr>
          <w:rFonts w:ascii="Helvetica" w:hAnsi="Helvetica" w:cs="Helvetica"/>
          <w:lang w:val="hr-HR"/>
        </w:rPr>
      </w:pPr>
      <w:r w:rsidRPr="006C588F">
        <w:rPr>
          <w:rFonts w:ascii="Helvetica" w:hAnsi="Helvetica" w:cs="Helvetica"/>
          <w:lang w:val="hr-HR"/>
        </w:rPr>
        <w:t>15. ZAKLJU</w:t>
      </w:r>
      <w:r w:rsidRPr="006C588F">
        <w:rPr>
          <w:rFonts w:ascii="Arial" w:hAnsi="Arial" w:cs="Arial"/>
          <w:lang w:val="hr-HR"/>
        </w:rPr>
        <w:t>Č</w:t>
      </w:r>
      <w:r w:rsidRPr="006C588F">
        <w:rPr>
          <w:rFonts w:ascii="Helvetica" w:hAnsi="Helvetica" w:cs="Helvetica"/>
          <w:lang w:val="hr-HR"/>
        </w:rPr>
        <w:t>NA OCJENA PROJEKTA</w:t>
      </w:r>
    </w:p>
    <w:p w:rsidR="00875234" w:rsidRPr="006C588F" w:rsidRDefault="00875234" w:rsidP="00875234">
      <w:pPr>
        <w:rPr>
          <w:szCs w:val="22"/>
          <w:lang w:val="hr-HR"/>
        </w:rPr>
      </w:pPr>
    </w:p>
    <w:p w:rsidR="0026454A" w:rsidRDefault="0026454A">
      <w:bookmarkStart w:id="0" w:name="_GoBack"/>
      <w:bookmarkEnd w:id="0"/>
    </w:p>
    <w:sectPr w:rsidR="0026454A" w:rsidSect="003F6C3E">
      <w:headerReference w:type="first" r:id="rId7"/>
      <w:footerReference w:type="first" r:id="rId8"/>
      <w:pgSz w:w="11900" w:h="16840"/>
      <w:pgMar w:top="1418" w:right="1418" w:bottom="1418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34" w:rsidRDefault="00875234" w:rsidP="00875234">
      <w:r>
        <w:separator/>
      </w:r>
    </w:p>
  </w:endnote>
  <w:endnote w:type="continuationSeparator" w:id="0">
    <w:p w:rsidR="00875234" w:rsidRDefault="00875234" w:rsidP="0087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4F" w:rsidRDefault="00875234" w:rsidP="00F36BA5">
    <w:pPr>
      <w:pStyle w:val="Footer"/>
      <w:ind w:left="-1418"/>
      <w:rPr>
        <w:noProof/>
        <w:lang w:val="hr-HR" w:eastAsia="hr-HR"/>
      </w:rPr>
    </w:pPr>
  </w:p>
  <w:p w:rsidR="0014594F" w:rsidRDefault="00875234" w:rsidP="00B52F72">
    <w:pPr>
      <w:pStyle w:val="Footer"/>
      <w:ind w:left="-1418"/>
      <w:jc w:val="center"/>
      <w:rPr>
        <w:noProof/>
        <w:lang w:val="hr-HR" w:eastAsia="hr-HR"/>
      </w:rPr>
    </w:pPr>
    <w:r>
      <w:rPr>
        <w:noProof/>
        <w:lang w:val="hr-HR" w:eastAsia="hr-HR"/>
      </w:rPr>
      <w:t xml:space="preserve">                          </w:t>
    </w:r>
  </w:p>
  <w:p w:rsidR="0014594F" w:rsidRDefault="00875234" w:rsidP="00F36BA5">
    <w:pPr>
      <w:pStyle w:val="Footer"/>
      <w:ind w:left="-1418"/>
      <w:rPr>
        <w:noProof/>
        <w:lang w:val="hr-HR" w:eastAsia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34" w:rsidRDefault="00875234" w:rsidP="00875234">
      <w:r>
        <w:separator/>
      </w:r>
    </w:p>
  </w:footnote>
  <w:footnote w:type="continuationSeparator" w:id="0">
    <w:p w:rsidR="00875234" w:rsidRDefault="00875234" w:rsidP="0087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F0" w:rsidRDefault="00875234" w:rsidP="00875234">
    <w:pPr>
      <w:pStyle w:val="Header"/>
      <w:tabs>
        <w:tab w:val="left" w:pos="14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A"/>
    <w:rsid w:val="0026454A"/>
    <w:rsid w:val="00875234"/>
    <w:rsid w:val="00D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3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52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234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875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234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34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34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52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234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rsid w:val="00875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234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34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jraic</dc:creator>
  <cp:lastModifiedBy>jraic</cp:lastModifiedBy>
  <cp:revision>1</cp:revision>
  <dcterms:created xsi:type="dcterms:W3CDTF">2018-04-16T11:37:00Z</dcterms:created>
  <dcterms:modified xsi:type="dcterms:W3CDTF">2018-04-16T11:52:00Z</dcterms:modified>
</cp:coreProperties>
</file>